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insoku w:val="0"/>
        <w:wordWrap w:val="0"/>
        <w:overflowPunct w:val="0"/>
        <w:autoSpaceDE w:val="0"/>
        <w:autoSpaceDN w:val="0"/>
        <w:adjustRightInd w:val="0"/>
        <w:snapToGrid w:val="0"/>
        <w:ind w:firstLine="0"/>
        <w:rPr>
          <w:rFonts w:hint="eastAsia" w:ascii="仿宋_GB2312" w:hAnsi="宋体"/>
          <w:b/>
          <w:sz w:val="24"/>
          <w:szCs w:val="24"/>
        </w:rPr>
      </w:pPr>
      <w:r>
        <w:rPr>
          <w:rFonts w:hint="eastAsia" w:ascii="仿宋_GB2312" w:hAnsi="宋体"/>
          <w:b/>
          <w:sz w:val="24"/>
          <w:szCs w:val="24"/>
        </w:rPr>
        <w:t>附件3</w:t>
      </w:r>
    </w:p>
    <w:p>
      <w:pPr>
        <w:pStyle w:val="2"/>
        <w:kinsoku w:val="0"/>
        <w:overflowPunct w:val="0"/>
        <w:autoSpaceDE w:val="0"/>
        <w:autoSpaceDN w:val="0"/>
        <w:adjustRightInd w:val="0"/>
        <w:snapToGrid w:val="0"/>
        <w:ind w:firstLine="0"/>
        <w:jc w:val="center"/>
        <w:rPr>
          <w:rFonts w:hint="eastAsia" w:ascii="仿宋_GB2312" w:hAnsi="宋体"/>
          <w:b/>
          <w:sz w:val="24"/>
          <w:szCs w:val="24"/>
        </w:rPr>
      </w:pPr>
    </w:p>
    <w:p>
      <w:pPr>
        <w:pStyle w:val="2"/>
        <w:kinsoku w:val="0"/>
        <w:overflowPunct w:val="0"/>
        <w:autoSpaceDE w:val="0"/>
        <w:autoSpaceDN w:val="0"/>
        <w:adjustRightInd w:val="0"/>
        <w:snapToGrid w:val="0"/>
        <w:ind w:firstLine="0"/>
        <w:jc w:val="center"/>
        <w:rPr>
          <w:rFonts w:hint="eastAsia" w:ascii="仿宋_GB2312" w:hAnsi="宋体"/>
          <w:b/>
          <w:sz w:val="24"/>
          <w:szCs w:val="24"/>
        </w:rPr>
      </w:pPr>
      <w:bookmarkStart w:id="0" w:name="_GoBack"/>
      <w:r>
        <w:rPr>
          <w:rFonts w:hint="eastAsia" w:ascii="仿宋_GB2312" w:hAnsi="宋体"/>
          <w:b/>
          <w:sz w:val="24"/>
          <w:szCs w:val="24"/>
        </w:rPr>
        <w:t>华侨大学兼职辅导员名额分配表</w:t>
      </w:r>
    </w:p>
    <w:bookmarkEnd w:id="0"/>
    <w:p>
      <w:pPr>
        <w:pStyle w:val="2"/>
        <w:kinsoku w:val="0"/>
        <w:overflowPunct w:val="0"/>
        <w:autoSpaceDE w:val="0"/>
        <w:autoSpaceDN w:val="0"/>
        <w:adjustRightInd w:val="0"/>
        <w:snapToGrid w:val="0"/>
        <w:ind w:firstLine="0"/>
        <w:jc w:val="center"/>
        <w:rPr>
          <w:rFonts w:hint="eastAsia" w:ascii="仿宋_GB2312" w:hAnsi="宋体"/>
          <w:b/>
          <w:sz w:val="24"/>
          <w:szCs w:val="24"/>
        </w:rPr>
      </w:pPr>
    </w:p>
    <w:tbl>
      <w:tblPr>
        <w:tblStyle w:val="4"/>
        <w:tblW w:w="9061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56"/>
        <w:gridCol w:w="3505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5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学院</w:t>
            </w:r>
          </w:p>
        </w:tc>
        <w:tc>
          <w:tcPr>
            <w:tcW w:w="3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兼职辅导员分配名额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5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信息科学与工程学院</w:t>
            </w:r>
          </w:p>
        </w:tc>
        <w:tc>
          <w:tcPr>
            <w:tcW w:w="35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1-2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5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计算机科学与技术学院</w:t>
            </w:r>
          </w:p>
        </w:tc>
        <w:tc>
          <w:tcPr>
            <w:tcW w:w="35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1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5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材料科学与工程学院</w:t>
            </w:r>
          </w:p>
        </w:tc>
        <w:tc>
          <w:tcPr>
            <w:tcW w:w="35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1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5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化工学院</w:t>
            </w:r>
          </w:p>
        </w:tc>
        <w:tc>
          <w:tcPr>
            <w:tcW w:w="35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1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5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机电及自动化学院</w:t>
            </w:r>
          </w:p>
        </w:tc>
        <w:tc>
          <w:tcPr>
            <w:tcW w:w="35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1-2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5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土木工程学院</w:t>
            </w:r>
          </w:p>
        </w:tc>
        <w:tc>
          <w:tcPr>
            <w:tcW w:w="35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1-2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5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建筑学院</w:t>
            </w:r>
          </w:p>
        </w:tc>
        <w:tc>
          <w:tcPr>
            <w:tcW w:w="35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1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5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华文学院</w:t>
            </w:r>
          </w:p>
        </w:tc>
        <w:tc>
          <w:tcPr>
            <w:tcW w:w="35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1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5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数学科学学院</w:t>
            </w:r>
          </w:p>
        </w:tc>
        <w:tc>
          <w:tcPr>
            <w:tcW w:w="35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1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5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经济与金融学院</w:t>
            </w:r>
          </w:p>
        </w:tc>
        <w:tc>
          <w:tcPr>
            <w:tcW w:w="35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1-2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5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工商管理学院</w:t>
            </w:r>
          </w:p>
        </w:tc>
        <w:tc>
          <w:tcPr>
            <w:tcW w:w="35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1-2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5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旅游学院</w:t>
            </w:r>
          </w:p>
        </w:tc>
        <w:tc>
          <w:tcPr>
            <w:tcW w:w="35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1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5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fldChar w:fldCharType="begin"/>
            </w: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instrText xml:space="preserve"> HYPERLINK "http://www.hqu.edu.cn/institute/30.shtml" \o "计算机科学与技术学院" \t "_self" </w:instrText>
            </w: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fldChar w:fldCharType="separate"/>
            </w: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公共管理学院</w:t>
            </w: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fldChar w:fldCharType="end"/>
            </w:r>
          </w:p>
        </w:tc>
        <w:tc>
          <w:tcPr>
            <w:tcW w:w="35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1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5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法学院</w:t>
            </w:r>
          </w:p>
        </w:tc>
        <w:tc>
          <w:tcPr>
            <w:tcW w:w="35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1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5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文学院</w:t>
            </w:r>
          </w:p>
        </w:tc>
        <w:tc>
          <w:tcPr>
            <w:tcW w:w="35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1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5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外国语学院</w:t>
            </w:r>
          </w:p>
        </w:tc>
        <w:tc>
          <w:tcPr>
            <w:tcW w:w="35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1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5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哲学与社会发展学院</w:t>
            </w:r>
          </w:p>
        </w:tc>
        <w:tc>
          <w:tcPr>
            <w:tcW w:w="35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1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5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美术学院</w:t>
            </w:r>
          </w:p>
        </w:tc>
        <w:tc>
          <w:tcPr>
            <w:tcW w:w="35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1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5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音乐舞蹈学院</w:t>
            </w:r>
          </w:p>
        </w:tc>
        <w:tc>
          <w:tcPr>
            <w:tcW w:w="3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1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5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体育学院</w:t>
            </w:r>
          </w:p>
        </w:tc>
        <w:tc>
          <w:tcPr>
            <w:tcW w:w="3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1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5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工学院</w:t>
            </w:r>
          </w:p>
        </w:tc>
        <w:tc>
          <w:tcPr>
            <w:tcW w:w="3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hAnsi="宋体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1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5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生物医学学院</w:t>
            </w:r>
          </w:p>
        </w:tc>
        <w:tc>
          <w:tcPr>
            <w:tcW w:w="3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1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5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厦航学院</w:t>
            </w:r>
          </w:p>
        </w:tc>
        <w:tc>
          <w:tcPr>
            <w:tcW w:w="3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1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5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国际学院</w:t>
            </w:r>
          </w:p>
        </w:tc>
        <w:tc>
          <w:tcPr>
            <w:tcW w:w="3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1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5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马克思主义学院</w:t>
            </w:r>
          </w:p>
        </w:tc>
        <w:tc>
          <w:tcPr>
            <w:tcW w:w="3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1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5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华侨华人研究院/国际关系学院</w:t>
            </w:r>
          </w:p>
        </w:tc>
        <w:tc>
          <w:tcPr>
            <w:tcW w:w="3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1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5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数量经济研究院/统计学院</w:t>
            </w:r>
          </w:p>
        </w:tc>
        <w:tc>
          <w:tcPr>
            <w:tcW w:w="3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1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5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新闻与传播学院</w:t>
            </w:r>
          </w:p>
        </w:tc>
        <w:tc>
          <w:tcPr>
            <w:tcW w:w="3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szCs w:val="24"/>
              </w:rPr>
              <w:t>1</w:t>
            </w:r>
          </w:p>
        </w:tc>
      </w:tr>
    </w:tbl>
    <w:p>
      <w:pPr>
        <w:pStyle w:val="2"/>
        <w:kinsoku w:val="0"/>
        <w:wordWrap w:val="0"/>
        <w:overflowPunct w:val="0"/>
        <w:autoSpaceDE w:val="0"/>
        <w:autoSpaceDN w:val="0"/>
        <w:adjustRightInd w:val="0"/>
        <w:snapToGrid w:val="0"/>
        <w:ind w:firstLine="0"/>
        <w:rPr>
          <w:rFonts w:hint="eastAsia" w:ascii="宋体" w:hAnsi="宋体" w:eastAsia="宋体"/>
          <w:sz w:val="10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方正舒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方正仿宋_GBK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89B308B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_GB2312"/>
      <w:kern w:val="2"/>
      <w:sz w:val="32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uiPriority w:val="0"/>
    <w:pPr>
      <w:ind w:firstLine="42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Office_10.1.0.5864_F1E327BC-269C-435d-A152-05C5408002CA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郑星有</cp:lastModifiedBy>
  <dcterms:modified xsi:type="dcterms:W3CDTF">2016-09-12T00:24:47Z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2052-10.1.0.5864</vt:lpwstr>
  </property>
</Properties>
</file>